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82F41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eastAsiaTheme="minor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武汉轻工大学26级学生转专业</w:t>
      </w:r>
      <w:r>
        <w:rPr>
          <w:b/>
          <w:bCs/>
          <w:sz w:val="36"/>
          <w:szCs w:val="36"/>
        </w:rPr>
        <w:t>操作流程</w:t>
      </w:r>
    </w:p>
    <w:p w14:paraId="5FE93F5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highlight w:val="yellow"/>
        </w:rPr>
      </w:pPr>
    </w:p>
    <w:p w14:paraId="1B07E18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highlight w:val="yellow"/>
        </w:rPr>
      </w:pPr>
    </w:p>
    <w:p w14:paraId="32A013D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highlight w:val="yellow"/>
        </w:rPr>
      </w:pPr>
      <w:r>
        <w:rPr>
          <w:highlight w:val="yellow"/>
        </w:rPr>
        <w:t>第一步：平台登录</w:t>
      </w:r>
    </w:p>
    <w:p w14:paraId="058CD27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网址：https://whqgu.ls365.net/</w:t>
      </w:r>
      <w:bookmarkStart w:id="0" w:name="_GoBack"/>
      <w:bookmarkEnd w:id="0"/>
    </w:p>
    <w:p w14:paraId="4BDF98C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用户名为：2026身份证号码, 初始密码为：身份证后六位@qg</w:t>
      </w:r>
    </w:p>
    <w:p w14:paraId="4647F4FA"/>
    <w:p w14:paraId="25B9480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656840"/>
            <wp:effectExtent l="0" t="0" r="6985" b="10160"/>
            <wp:docPr id="1" name="图片 1" descr="4d946d32103f7867415e3904d267df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d946d32103f7867415e3904d267df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6845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eastAsiaTheme="minorEastAsia"/>
          <w:lang w:eastAsia="zh-CN"/>
        </w:rPr>
      </w:pPr>
    </w:p>
    <w:p w14:paraId="0B44FA0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eastAsiaTheme="minorEastAsia"/>
          <w:lang w:eastAsia="zh-CN"/>
        </w:rPr>
      </w:pPr>
    </w:p>
    <w:p w14:paraId="7710E86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eastAsiaTheme="minorEastAsia"/>
          <w:lang w:eastAsia="zh-CN"/>
        </w:rPr>
      </w:pPr>
    </w:p>
    <w:p w14:paraId="13CCBF2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highlight w:val="yellow"/>
        </w:rPr>
        <w:t>第二步：提交转专业申请</w:t>
      </w:r>
    </w:p>
    <w:p w14:paraId="75588E2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点击学籍异动，进入学籍异动申请，请先仔细阅读学籍管理相关规定，再按要求选择专业，点击申请变更，弹出的申请表请按照要求填写后，提交申请变更。</w:t>
      </w:r>
    </w:p>
    <w:p w14:paraId="0B316F48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072130"/>
            <wp:effectExtent l="0" t="0" r="10160" b="1397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8595" cy="6024880"/>
            <wp:effectExtent l="0" t="0" r="8255" b="1397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024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3EC58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highlight w:val="yellow"/>
        </w:rPr>
      </w:pPr>
    </w:p>
    <w:p w14:paraId="06482C7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highlight w:val="yellow"/>
        </w:rPr>
      </w:pPr>
    </w:p>
    <w:p w14:paraId="7217055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highlight w:val="yellow"/>
        </w:rPr>
      </w:pPr>
      <w:r>
        <w:rPr>
          <w:highlight w:val="yellow"/>
        </w:rPr>
        <w:t>第三步：等待审核</w:t>
      </w:r>
    </w:p>
    <w:p w14:paraId="5FAF26F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提交后，审核记录中可查看变更专业申请记录，并时刻关注审核状态。</w:t>
      </w:r>
    </w:p>
    <w:p w14:paraId="257B723D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0500" cy="3236595"/>
            <wp:effectExtent l="0" t="0" r="6350" b="1905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6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0B2D5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highlight w:val="yellow"/>
        </w:rPr>
      </w:pPr>
    </w:p>
    <w:p w14:paraId="346681E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highlight w:val="yellow"/>
        </w:rPr>
      </w:pPr>
    </w:p>
    <w:p w14:paraId="657D7A8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highlight w:val="yellow"/>
        </w:rPr>
      </w:pPr>
    </w:p>
    <w:p w14:paraId="3EF5299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highlight w:val="yellow"/>
        </w:rPr>
      </w:pPr>
      <w:r>
        <w:rPr>
          <w:highlight w:val="yellow"/>
        </w:rPr>
        <w:t>如初审通过，则等待院校二审。</w:t>
      </w:r>
    </w:p>
    <w:p w14:paraId="47D4A203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0500" cy="2685415"/>
            <wp:effectExtent l="0" t="0" r="6350" b="635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477B5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highlight w:val="yellow"/>
        </w:rPr>
      </w:pPr>
    </w:p>
    <w:p w14:paraId="52B9497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highlight w:val="yellow"/>
        </w:rPr>
      </w:pPr>
    </w:p>
    <w:p w14:paraId="2AAE44C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highlight w:val="yellow"/>
        </w:rPr>
      </w:pPr>
    </w:p>
    <w:p w14:paraId="146A084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highlight w:val="yellow"/>
        </w:rPr>
      </w:pPr>
      <w:r>
        <w:rPr>
          <w:highlight w:val="yellow"/>
        </w:rPr>
        <w:t>如初审未通过，则根据未通过理由修改后，再次提交转专业申请，继续等待初审。</w:t>
      </w:r>
    </w:p>
    <w:p w14:paraId="13D90D05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0500" cy="3193415"/>
            <wp:effectExtent l="0" t="0" r="6350" b="6985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C96B3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highlight w:val="yellow"/>
        </w:rPr>
      </w:pPr>
    </w:p>
    <w:p w14:paraId="3023F9B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highlight w:val="yellow"/>
        </w:rPr>
      </w:pPr>
    </w:p>
    <w:p w14:paraId="30ED5EE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highlight w:val="yellow"/>
        </w:rPr>
      </w:pPr>
      <w:r>
        <w:rPr>
          <w:highlight w:val="yellow"/>
        </w:rPr>
        <w:t>如院校二审通过后则学生完成转专业流程，课程和专业信息将自动更新。</w:t>
      </w:r>
    </w:p>
    <w:p w14:paraId="78AC47D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5420" cy="3890010"/>
            <wp:effectExtent l="0" t="0" r="11430" b="15240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9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A285D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 w14:paraId="16AA890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highlight w:val="yellow"/>
        </w:rPr>
      </w:pPr>
      <w:r>
        <w:rPr>
          <w:highlight w:val="yellow"/>
        </w:rPr>
        <w:t>如院校二审未通过，学生将回到第一步重新根据驳回理由提交转专业申请，再等待教学点初审及院校二审。</w:t>
      </w:r>
    </w:p>
    <w:p w14:paraId="0115443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135" cy="3470275"/>
            <wp:effectExtent l="0" t="0" r="5715" b="15875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7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CB355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 w14:paraId="6328CCB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 w14:paraId="6E4184D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highlight w:val="yellow"/>
        </w:rPr>
      </w:pPr>
      <w:r>
        <w:rPr>
          <w:highlight w:val="yellow"/>
        </w:rPr>
        <w:t>四、温馨提示</w:t>
      </w:r>
    </w:p>
    <w:p w14:paraId="060BCC5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highlight w:val="yellow"/>
        </w:rPr>
      </w:pPr>
      <w:r>
        <w:rPr>
          <w:highlight w:val="yellow"/>
        </w:rPr>
        <w:t>在校期间每人仅限办理一次转专业，且转专业前后学习形式须保持一致。申请须在入学首年内提交，请务必通知学生准确填报学籍异动相关材料。</w:t>
      </w:r>
    </w:p>
    <w:p w14:paraId="30E04C6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DB7373"/>
    <w:rsid w:val="0C211877"/>
    <w:rsid w:val="14AA36E9"/>
    <w:rsid w:val="20B62AC9"/>
    <w:rsid w:val="3CDB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目录"/>
    <w:basedOn w:val="1"/>
    <w:qFormat/>
    <w:uiPriority w:val="0"/>
    <w:pPr>
      <w:tabs>
        <w:tab w:val="right" w:leader="dot" w:pos="9829"/>
      </w:tabs>
      <w:spacing w:line="360" w:lineRule="auto"/>
    </w:pPr>
    <w:rPr>
      <w:rFonts w:hint="eastAsia" w:ascii="黑体" w:hAnsi="黑体" w:eastAsia="黑体" w:cs="黑体"/>
      <w:bCs/>
      <w:snapToGrid w:val="0"/>
      <w:color w:val="000000"/>
      <w:kern w:val="0"/>
      <w:sz w:val="24"/>
      <w:szCs w:val="24"/>
      <w:lang w:eastAsia="en-US"/>
    </w:rPr>
  </w:style>
  <w:style w:type="paragraph" w:customStyle="1" w:styleId="6">
    <w:name w:val="正文1"/>
    <w:basedOn w:val="1"/>
    <w:uiPriority w:val="0"/>
    <w:pPr>
      <w:spacing w:line="360" w:lineRule="auto"/>
      <w:ind w:firstLine="1012" w:firstLineChars="200"/>
    </w:pPr>
    <w:rPr>
      <w:rFonts w:asciiTheme="minorAscii" w:hAnsiTheme="minorAscii"/>
      <w:sz w:val="24"/>
    </w:rPr>
  </w:style>
  <w:style w:type="paragraph" w:customStyle="1" w:styleId="7">
    <w:name w:val="参考文献1"/>
    <w:basedOn w:val="1"/>
    <w:uiPriority w:val="0"/>
    <w:pPr>
      <w:spacing w:line="360" w:lineRule="auto"/>
      <w:ind w:left="1012" w:hanging="1012" w:hangingChars="200"/>
    </w:pPr>
    <w:rPr>
      <w:rFonts w:hint="default" w:asciiTheme="minorAscii" w:hAnsiTheme="minorAscii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2026-05-07T01:22:00Z</dcterms:created>
  <dc:creator>caibetty</dc:creator>
  <cp:lastModifiedBy>caibetty</cp:lastModifiedBy>
  <dcterms:modified xsi:type="dcterms:W3CDTF">2026-05-07T01:23:07Z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04D0942604834FE9A21D6DEA24A00E25_11</vt:lpwstr>
  </property>
  <property fmtid="{D5CDD505-2E9C-101B-9397-08002B2CF9AE}" pid="4" name="KSOTemplateDocerSaveRecord">
    <vt:lpwstr>eyJoZGlkIjoiZDI2Y2YwNDA4NGQwOGRhOTc5OGVmYTY4ODk3ZTE1ZTkiLCJ1c2VySWQiOiIzMjYxMDY2ODEifQ==</vt:lpwstr>
  </property>
</Properties>
</file>